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63" w:rsidRDefault="00587363" w:rsidP="00587363">
      <w:pPr>
        <w:pStyle w:val="Nagwek"/>
        <w:ind w:left="-567"/>
        <w:rPr>
          <w:color w:val="000080"/>
        </w:rPr>
      </w:pPr>
      <w:r>
        <w:rPr>
          <w:noProof/>
        </w:rPr>
        <w:t xml:space="preserve">                </w:t>
      </w: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t xml:space="preserve">     </w:t>
      </w:r>
      <w:r w:rsidRPr="002B2E10"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C:\Users\marchrzanowski\AppData\Local\Microsoft\Windows\INetCache\Content.Word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archrzanowski\AppData\Local\Microsoft\Windows\INetCache\Content.Word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2B2E10"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C:\Users\marchrzanowski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archrzanowski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57" w:rsidRDefault="00734871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  </w:t>
      </w:r>
      <w:r w:rsidR="00101657"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 w:rsidR="00101657">
        <w:rPr>
          <w:rFonts w:ascii="Tahoma" w:hAnsi="Tahoma"/>
          <w:sz w:val="28"/>
        </w:rPr>
        <w:t xml:space="preserve">Załącznik nr </w:t>
      </w:r>
      <w:r w:rsidR="00996701">
        <w:rPr>
          <w:rFonts w:ascii="Tahoma" w:hAnsi="Tahoma"/>
          <w:sz w:val="28"/>
        </w:rPr>
        <w:t>4</w:t>
      </w:r>
      <w:r w:rsidR="00101657"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FC03BB" w:rsidRDefault="00101657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FC03BB" w:rsidRPr="00FE67C9">
        <w:rPr>
          <w:rStyle w:val="FontStyle14"/>
          <w:rFonts w:ascii="Tahoma" w:hAnsi="Tahoma" w:cs="Tahoma"/>
          <w:sz w:val="24"/>
          <w:szCs w:val="24"/>
        </w:rPr>
        <w:t>„</w:t>
      </w:r>
      <w:r w:rsidR="00FE67C9" w:rsidRPr="00FE67C9">
        <w:rPr>
          <w:rStyle w:val="FontStyle14"/>
          <w:rFonts w:ascii="Tahoma" w:hAnsi="Tahoma" w:cs="Tahoma"/>
          <w:sz w:val="24"/>
          <w:szCs w:val="24"/>
        </w:rPr>
        <w:t xml:space="preserve">Urządzeń </w:t>
      </w:r>
      <w:r w:rsidR="002E3F4C">
        <w:rPr>
          <w:rStyle w:val="FontStyle14"/>
          <w:rFonts w:ascii="Tahoma" w:hAnsi="Tahoma" w:cs="Tahoma"/>
          <w:sz w:val="24"/>
          <w:szCs w:val="24"/>
        </w:rPr>
        <w:t xml:space="preserve"> i wyrobów </w:t>
      </w:r>
      <w:r w:rsidR="00FE67C9" w:rsidRPr="00FE67C9">
        <w:rPr>
          <w:rStyle w:val="FontStyle14"/>
          <w:rFonts w:ascii="Tahoma" w:hAnsi="Tahoma" w:cs="Tahoma"/>
          <w:sz w:val="24"/>
          <w:szCs w:val="24"/>
        </w:rPr>
        <w:t>medyczny</w:t>
      </w:r>
      <w:r w:rsidR="00DF15FD">
        <w:rPr>
          <w:rStyle w:val="FontStyle14"/>
          <w:rFonts w:ascii="Tahoma" w:hAnsi="Tahoma" w:cs="Tahoma"/>
          <w:sz w:val="24"/>
          <w:szCs w:val="24"/>
        </w:rPr>
        <w:t>ch</w:t>
      </w:r>
      <w:r w:rsidR="00FE67C9" w:rsidRPr="00FE67C9">
        <w:rPr>
          <w:rStyle w:val="FontStyle14"/>
          <w:rFonts w:ascii="Tahoma" w:hAnsi="Tahoma" w:cs="Tahoma"/>
          <w:sz w:val="24"/>
          <w:szCs w:val="24"/>
        </w:rPr>
        <w:t>”</w:t>
      </w:r>
      <w:r w:rsidR="002E3F4C">
        <w:rPr>
          <w:rStyle w:val="FontStyle14"/>
          <w:rFonts w:ascii="Tahoma" w:hAnsi="Tahoma" w:cs="Tahoma"/>
          <w:sz w:val="24"/>
          <w:szCs w:val="24"/>
        </w:rPr>
        <w:t xml:space="preserve"> część nr 1 i 2</w:t>
      </w:r>
    </w:p>
    <w:p w:rsidR="00FE67C9" w:rsidRDefault="00FE67C9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34871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</w:t>
            </w:r>
            <w:r w:rsidR="00734871">
              <w:rPr>
                <w:rFonts w:ascii="Tahoma" w:hAnsi="Tahoma" w:cs="Tahoma"/>
                <w:sz w:val="22"/>
                <w:szCs w:val="22"/>
              </w:rPr>
              <w:t>e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E925C6" w:rsidRDefault="00E925C6" w:rsidP="00E925C6">
            <w:pPr>
              <w:pStyle w:val="AbsatzTableFormat"/>
            </w:pPr>
            <w:r w:rsidRPr="00E925C6">
              <w:t>W przypadku 3 – krotnie powtarzającej się istotnej usterki urządzenie zostanie wymienione na nowe (zgodnie z przedmiotem zamówienia, wolne od wad) na własny koszt w terminie 30 dni od daty wystawienia karty pracy; elementy drobne wymieniane są każdorazowo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E925C6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E925C6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E925C6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E925C6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 xml:space="preserve">Wykonawca ustali terminy przeglądów i konserwacji z Użytkownikiem, a harmonogram dostarczy do </w:t>
            </w:r>
            <w:r w:rsidR="00734871">
              <w:rPr>
                <w:rFonts w:ascii="Tahoma" w:hAnsi="Tahoma" w:cs="Tahoma"/>
                <w:sz w:val="22"/>
              </w:rPr>
              <w:t>Sekcji</w:t>
            </w:r>
            <w:r w:rsidRPr="004F5A79">
              <w:rPr>
                <w:rFonts w:ascii="Tahoma" w:hAnsi="Tahoma" w:cs="Tahoma"/>
                <w:sz w:val="22"/>
              </w:rPr>
              <w:t xml:space="preserve">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 xml:space="preserve">Wykonanie minimum 1 bezpłatnego przeglądu serwisowego przedmiotu zamówienia w ciągu roku </w:t>
            </w:r>
            <w:r w:rsidRPr="00073ECC">
              <w:rPr>
                <w:rFonts w:ascii="Tahoma" w:hAnsi="Tahoma" w:cs="Tahoma"/>
                <w:sz w:val="22"/>
                <w:szCs w:val="22"/>
              </w:rPr>
              <w:lastRenderedPageBreak/>
              <w:t>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734871">
        <w:trPr>
          <w:trHeight w:val="1119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846BAA" w:rsidRDefault="00846BAA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846BAA">
              <w:rPr>
                <w:rFonts w:ascii="Tahoma" w:hAnsi="Tahoma" w:cs="Tahoma"/>
                <w:bCs/>
                <w:sz w:val="22"/>
                <w:szCs w:val="22"/>
              </w:rPr>
              <w:t>Wykonanie 1 przeglądu bezpłatnego w okresie pogwarancyjnym zakończonego wystawieniem zaświadczenia potwierdzającego prawidłowe działanie urządzenia, jednak nie wcześniej niż 11 m-</w:t>
            </w:r>
            <w:proofErr w:type="spellStart"/>
            <w:r w:rsidRPr="00846BAA">
              <w:rPr>
                <w:rFonts w:ascii="Tahoma" w:hAnsi="Tahoma" w:cs="Tahoma"/>
                <w:bCs/>
                <w:sz w:val="22"/>
                <w:szCs w:val="22"/>
              </w:rPr>
              <w:t>cy</w:t>
            </w:r>
            <w:proofErr w:type="spellEnd"/>
            <w:r w:rsidRPr="00846BAA">
              <w:rPr>
                <w:rFonts w:ascii="Tahoma" w:hAnsi="Tahoma" w:cs="Tahoma"/>
                <w:bCs/>
                <w:sz w:val="22"/>
                <w:szCs w:val="22"/>
              </w:rPr>
              <w:t xml:space="preserve"> od daty ostatniego przeglądu.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 (podać adres)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734871">
        <w:trPr>
          <w:trHeight w:val="881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dostarczyć pełną dokumentacj</w:t>
            </w:r>
            <w:r w:rsidR="006203AE">
              <w:rPr>
                <w:rFonts w:ascii="Tahoma" w:hAnsi="Tahoma" w:cs="Tahoma"/>
                <w:sz w:val="22"/>
                <w:szCs w:val="22"/>
              </w:rPr>
              <w:t>ę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</w:t>
            </w:r>
            <w:r w:rsidR="006203AE">
              <w:rPr>
                <w:rFonts w:ascii="Tahoma" w:hAnsi="Tahoma" w:cs="Tahoma"/>
                <w:sz w:val="22"/>
              </w:rPr>
              <w:t>ż</w:t>
            </w:r>
            <w:r w:rsidR="00842396">
              <w:rPr>
                <w:rFonts w:ascii="Tahoma" w:hAnsi="Tahoma" w:cs="Tahoma"/>
                <w:sz w:val="22"/>
              </w:rPr>
              <w:t>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734871">
        <w:trPr>
          <w:trHeight w:val="1138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734871" w:rsidRDefault="00734871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9"/>
      <w:footerReference w:type="default" r:id="rId10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17" w:rsidRDefault="00AA2317">
      <w:r>
        <w:separator/>
      </w:r>
    </w:p>
  </w:endnote>
  <w:endnote w:type="continuationSeparator" w:id="0">
    <w:p w:rsidR="00AA2317" w:rsidRDefault="00A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E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17" w:rsidRDefault="00AA2317">
      <w:r>
        <w:separator/>
      </w:r>
    </w:p>
  </w:footnote>
  <w:footnote w:type="continuationSeparator" w:id="0">
    <w:p w:rsidR="00AA2317" w:rsidRDefault="00AA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4E52"/>
    <w:rsid w:val="00225DC7"/>
    <w:rsid w:val="00237DF7"/>
    <w:rsid w:val="00247B03"/>
    <w:rsid w:val="00247D03"/>
    <w:rsid w:val="00271A15"/>
    <w:rsid w:val="002A2836"/>
    <w:rsid w:val="002B7D88"/>
    <w:rsid w:val="002D32FC"/>
    <w:rsid w:val="002E3F4C"/>
    <w:rsid w:val="002E553A"/>
    <w:rsid w:val="0032524F"/>
    <w:rsid w:val="00347EFE"/>
    <w:rsid w:val="00385C04"/>
    <w:rsid w:val="003E6566"/>
    <w:rsid w:val="00473A82"/>
    <w:rsid w:val="00473CEA"/>
    <w:rsid w:val="00493AA8"/>
    <w:rsid w:val="004D20A5"/>
    <w:rsid w:val="004E5AE0"/>
    <w:rsid w:val="004F4FE9"/>
    <w:rsid w:val="004F5A79"/>
    <w:rsid w:val="0051514C"/>
    <w:rsid w:val="00584CBA"/>
    <w:rsid w:val="00587363"/>
    <w:rsid w:val="00592332"/>
    <w:rsid w:val="005B3D24"/>
    <w:rsid w:val="005E194B"/>
    <w:rsid w:val="005E6419"/>
    <w:rsid w:val="006113F8"/>
    <w:rsid w:val="006203AE"/>
    <w:rsid w:val="0066514F"/>
    <w:rsid w:val="00674355"/>
    <w:rsid w:val="00687387"/>
    <w:rsid w:val="006F53A8"/>
    <w:rsid w:val="00734871"/>
    <w:rsid w:val="00754099"/>
    <w:rsid w:val="0076225C"/>
    <w:rsid w:val="00765341"/>
    <w:rsid w:val="00775AB4"/>
    <w:rsid w:val="00795933"/>
    <w:rsid w:val="00797328"/>
    <w:rsid w:val="007B3E68"/>
    <w:rsid w:val="007F2E00"/>
    <w:rsid w:val="00813383"/>
    <w:rsid w:val="00826C72"/>
    <w:rsid w:val="00842396"/>
    <w:rsid w:val="00846BAA"/>
    <w:rsid w:val="008C4E62"/>
    <w:rsid w:val="008D31CF"/>
    <w:rsid w:val="00932AEF"/>
    <w:rsid w:val="00947C23"/>
    <w:rsid w:val="00970879"/>
    <w:rsid w:val="009817C8"/>
    <w:rsid w:val="00981AEA"/>
    <w:rsid w:val="00985367"/>
    <w:rsid w:val="00996701"/>
    <w:rsid w:val="009A0691"/>
    <w:rsid w:val="009B7D2F"/>
    <w:rsid w:val="00A34BB2"/>
    <w:rsid w:val="00A40537"/>
    <w:rsid w:val="00A83B47"/>
    <w:rsid w:val="00AA2317"/>
    <w:rsid w:val="00AA3600"/>
    <w:rsid w:val="00AB7FD2"/>
    <w:rsid w:val="00B3284A"/>
    <w:rsid w:val="00B844F6"/>
    <w:rsid w:val="00C227BC"/>
    <w:rsid w:val="00C35A51"/>
    <w:rsid w:val="00C46C9F"/>
    <w:rsid w:val="00C946F3"/>
    <w:rsid w:val="00C9559A"/>
    <w:rsid w:val="00CA10E1"/>
    <w:rsid w:val="00CA135F"/>
    <w:rsid w:val="00CB6B75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DF15FD"/>
    <w:rsid w:val="00E05917"/>
    <w:rsid w:val="00E06A74"/>
    <w:rsid w:val="00E104A4"/>
    <w:rsid w:val="00E5455C"/>
    <w:rsid w:val="00E925C6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66ECC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E925C6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Nagwek">
    <w:name w:val="header"/>
    <w:basedOn w:val="Normalny"/>
    <w:link w:val="NagwekZnak"/>
    <w:rsid w:val="005873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8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Witold Sarnowski</cp:lastModifiedBy>
  <cp:revision>4</cp:revision>
  <cp:lastPrinted>2017-03-14T10:51:00Z</cp:lastPrinted>
  <dcterms:created xsi:type="dcterms:W3CDTF">2018-08-24T12:16:00Z</dcterms:created>
  <dcterms:modified xsi:type="dcterms:W3CDTF">2018-09-03T10:51:00Z</dcterms:modified>
</cp:coreProperties>
</file>